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中共阳山县江英镇委员会</w:t>
      </w:r>
      <w:r>
        <w:rPr>
          <w:rFonts w:hint="eastAsia" w:ascii="方正小标宋_GBK" w:hAnsi="方正小标宋_GBK" w:eastAsia="方正小标宋_GBK" w:cs="方正小标宋_GBK"/>
          <w:b/>
          <w:bCs/>
          <w:sz w:val="44"/>
          <w:szCs w:val="44"/>
        </w:rPr>
        <w:t>关于</w:t>
      </w:r>
      <w:r>
        <w:rPr>
          <w:rFonts w:hint="eastAsia" w:ascii="方正小标宋_GBK" w:hAnsi="方正小标宋_GBK" w:eastAsia="方正小标宋_GBK" w:cs="方正小标宋_GBK"/>
          <w:b/>
          <w:bCs/>
          <w:sz w:val="44"/>
          <w:szCs w:val="44"/>
          <w:lang w:eastAsia="zh-CN"/>
        </w:rPr>
        <w:t>县委第二巡察组对江英镇14个村</w:t>
      </w:r>
      <w:r>
        <w:rPr>
          <w:rFonts w:hint="eastAsia" w:ascii="方正小标宋_GBK" w:hAnsi="方正小标宋_GBK" w:eastAsia="方正小标宋_GBK" w:cs="方正小标宋_GBK"/>
          <w:b/>
          <w:bCs/>
          <w:color w:val="auto"/>
          <w:sz w:val="44"/>
          <w:szCs w:val="44"/>
          <w:highlight w:val="none"/>
        </w:rPr>
        <w:t>巡察整改进展情况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rPr>
        <w:t>的通报</w:t>
      </w:r>
    </w:p>
    <w:p>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根据清远市委统一部署，2024年9月至12月，阳山县委第二巡察组对江英镇下辖的英阳村等14个村进行了巡察。2025年3月，阳山县委第二巡察组向江英镇党委反馈了巡察意见。按照党务公开原则和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黑体_GBK" w:hAnsi="方正黑体_GBK" w:eastAsia="方正黑体_GBK" w:cs="方正黑体_GBK"/>
          <w:b/>
          <w:bCs/>
          <w:snapToGrid w:val="0"/>
          <w:color w:val="auto"/>
          <w:kern w:val="0"/>
          <w:sz w:val="32"/>
          <w:szCs w:val="32"/>
          <w:highlight w:val="none"/>
          <w:lang w:eastAsia="zh-CN"/>
        </w:rPr>
        <w:t>一、江英镇党委履行巡察整改主体责任情况</w:t>
      </w:r>
      <w:r>
        <w:rPr>
          <w:rFonts w:hint="eastAsia" w:ascii="方正仿宋_GBK" w:hAnsi="方正仿宋_GBK" w:eastAsia="方正仿宋_GBK" w:cs="方正仿宋_GBK"/>
          <w:b/>
          <w:bCs/>
          <w:snapToGrid w:val="0"/>
          <w:color w:val="auto"/>
          <w:kern w:val="0"/>
          <w:sz w:val="32"/>
          <w:szCs w:val="32"/>
          <w:highlight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江英镇党委把巡察整改作为严肃政治任务抓紧抓实，深入学习贯彻习近平总书记关于巡视工作的重要论述和重要指示批示精神，高度重视巡察反馈问题，深刻认识到巡察整改的重要性，将整改工作作为加强党的建设、推动全面从严治党向纵深发展的重要契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（一）科学合理制定方案，全面压实整改责任。</w:t>
      </w:r>
      <w:r>
        <w:rPr>
          <w:rFonts w:hint="eastAsia" w:ascii="方正仿宋_GBK" w:hAnsi="方正仿宋_GBK" w:eastAsia="方正仿宋_GBK" w:cs="方正仿宋_GBK"/>
          <w:b/>
          <w:bCs/>
          <w:snapToGrid w:val="0"/>
          <w:color w:val="auto"/>
          <w:kern w:val="0"/>
          <w:sz w:val="32"/>
          <w:szCs w:val="32"/>
          <w:highlight w:val="none"/>
          <w:lang w:eastAsia="zh-CN"/>
        </w:rPr>
        <w:t>2025年4月，镇党委研究制定了《江英镇党委关于县委第二巡察组巡察镇下辖14个村的反馈意见落实整改工作方案》，成立巡察整改工作领导小组，对巡察反馈存在的问题制定整改问题清单和整改台账，进一步细化责任，分别落实到责任单位、责任领导和具体责任人，明确了整改完成的时限，确保每个问题有措施、有进展、见成效。适时组织召开推进会，对巡察整改工作进行跟踪问效，对整改过程中遇到的问题进行讨论，要求整改问题不回避，按照时间节点逐步推进，确保整改实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（二）坚持问题导向，扎实推进整改。</w:t>
      </w:r>
      <w:r>
        <w:rPr>
          <w:rFonts w:hint="eastAsia" w:ascii="方正仿宋_GBK" w:hAnsi="方正仿宋_GBK" w:eastAsia="方正仿宋_GBK" w:cs="方正仿宋_GBK"/>
          <w:b/>
          <w:bCs/>
          <w:snapToGrid w:val="0"/>
          <w:color w:val="auto"/>
          <w:kern w:val="0"/>
          <w:sz w:val="32"/>
          <w:szCs w:val="32"/>
          <w:highlight w:val="none"/>
          <w:lang w:eastAsia="zh-CN"/>
        </w:rPr>
        <w:t>对巡察组反馈的问题进一步细化，明确整改落实第一责任人和指导监督部门，定期召开巡察整改工作推进会议，听取整改情况进度、分析问题卡点，协调资源解决整改难点，实时跟踪每项问题整改情况，整改一个、销号一个，确保问题真改实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黑体_GBK" w:hAnsi="方正黑体_GBK" w:eastAsia="方正黑体_GBK" w:cs="方正黑体_GBK"/>
          <w:b/>
          <w:bCs/>
          <w:snapToGrid w:val="0"/>
          <w:color w:val="auto"/>
          <w:kern w:val="0"/>
          <w:sz w:val="32"/>
          <w:szCs w:val="32"/>
          <w:highlight w:val="none"/>
          <w:lang w:eastAsia="zh-CN"/>
        </w:rPr>
      </w:pPr>
      <w:r>
        <w:rPr>
          <w:rFonts w:hint="eastAsia" w:ascii="方正黑体_GBK" w:hAnsi="方正黑体_GBK" w:eastAsia="方正黑体_GBK" w:cs="方正黑体_GBK"/>
          <w:b/>
          <w:bCs/>
          <w:snapToGrid w:val="0"/>
          <w:color w:val="auto"/>
          <w:kern w:val="0"/>
          <w:sz w:val="32"/>
          <w:szCs w:val="32"/>
          <w:highlight w:val="none"/>
          <w:lang w:eastAsia="zh-CN"/>
        </w:rPr>
        <w:t xml:space="preserve"> 二、巡察整改任务落实情况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楷体_GBK" w:hAnsi="方正楷体_GBK" w:eastAsia="方正楷体_GBK" w:cs="方正楷体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（一）关于学习贯彻习近平新时代中国特色社会主义思想，谋划推进“百千万工程”方面</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1.强化业务学习，加强监督指导。一是强化责任明确与资料支撑，夯实学习基础。镇百千万办公室牵头，全面收集整理上级政策文件、实施细则、典型案例等“百千万工程”学习资料，及时下发至各村委会，并动态更新市县镇相关工作会议纪要，为各村学习提供理论保障；同时明确各村为整改责任单位，村党总支书记、村委会主任为第一责任人，确保学习工作有人抓、有人管。二是开展业务培训与问题通报，纠正学习方向。通过组织集中培训、实地察看指导等方式，对村两委干部开展业务培训，助力其掌握政策要求与工作方法。三是深化监督检查，提升整改成效。镇百千万办公室定期开展督导，对各村开展全覆盖检查，规范各村学习记录与工作流程，提升工作严谨性和规范性，为“百千万工程”深入推进奠定坚实基础。</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2.提高思想认识，加强统筹谋划。一是精准指导制定规划，制定《“百千万工程” 规划编制指南》，镇百千万办公室安排专人指导各村规划工作，完成典型村培育规划编制，并建立培育项目清单，为工程推进奠定基础。二是强化学习提认识，组织村党总支部书记参加镇级“百千万工程”专题学习会，各村组织两委干部、党员群众深入学习政策；整理《应知应会手册》《村级学习文件》《市县镇会议部署》等材料，及时传达上级政策与会议精神，全面提升干群对“百千万工程”的认知度。三是严格监督促落实，规范会议记录管理，开展专项检查，通过通报督促问题整改，推动各村反馈问题高效解决，确保整改落地见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3.加强业务培训，提升履职能力。一是聚焦基础业务强化培训，江英镇组织专题财政业务培训会，重点解读 “三资” 管理责任界定、数据核算等核心内容，明确要求各村党总支部书记带头深学细悟，确保掌握本村资产、资源、资金具体情况。二是通过专题培训、以会代训等形式，常态化加强村党总支部书记履职能力提升，着力转变思想认识、补齐能力短板，推动明晰产业发展思路，切实扛起带动村民致富与管好集体 “三资” 的责任，逐步破解 “思路不清、办法不多、情况不明” 的难题。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4.充分发挥村党组织战斗堡垒作用。一是及时组织驻村工作组、村干部和村民对党群活动中心周边环境进行清理整治，并形成长效机制。二是加强对各村党群活动中心的建设指导，加强对《开展农村党群活动中心建设实施方案》的学习，并督促各村做好该党群活动中心的日常开放、设施维护、活动组织等工作，进一步发挥好党组织战斗堡垒作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楷体_GBK" w:hAnsi="方正楷体_GBK" w:eastAsia="方正楷体_GBK" w:cs="方正楷体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（二）关于履行职能责任，推动“百千万工程”各项任务落实方面</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1</w:t>
      </w:r>
      <w:r>
        <w:rPr>
          <w:rFonts w:hint="eastAsia" w:ascii="方正仿宋_GBK" w:hAnsi="方正仿宋_GBK" w:eastAsia="方正仿宋_GBK" w:cs="方正仿宋_GBK"/>
          <w:b/>
          <w:bCs/>
          <w:snapToGrid w:val="0"/>
          <w:color w:val="auto"/>
          <w:kern w:val="0"/>
          <w:sz w:val="32"/>
          <w:szCs w:val="32"/>
          <w:highlight w:val="none"/>
          <w:lang w:eastAsia="zh-CN"/>
        </w:rPr>
        <w:t>.因地制宜盘活各村资产资源。组织各村开展产业情况和资产资源摸排，指导各村建立《产业发展情况台账》，明确优势产业和发展方向。指导各村立足资源禀赋，因地制宜制定《村级集体经济增收实施方案》，推动盘活集体资产、开发闲置资源、推进土地流转、发展特色种养等多元化途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2</w:t>
      </w:r>
      <w:r>
        <w:rPr>
          <w:rFonts w:hint="eastAsia" w:ascii="方正仿宋_GBK" w:hAnsi="方正仿宋_GBK" w:eastAsia="方正仿宋_GBK" w:cs="方正仿宋_GBK"/>
          <w:b/>
          <w:bCs/>
          <w:snapToGrid w:val="0"/>
          <w:color w:val="auto"/>
          <w:kern w:val="0"/>
          <w:sz w:val="32"/>
          <w:szCs w:val="32"/>
          <w:highlight w:val="none"/>
          <w:lang w:eastAsia="zh-CN"/>
        </w:rPr>
        <w:t>.坚决开展“三清三拆三整治”。一是组织各村开展“三清三拆三整治”问题自查自纠，对发现的问题逐一整改到位。二是联合村委、执法、供电、通信等部门将持续推进各村的“三清三拆三整治”工作，加大宣传力度，动员村民参与环境整治，形成共建共治共享氛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3</w:t>
      </w:r>
      <w:r>
        <w:rPr>
          <w:rFonts w:hint="eastAsia" w:ascii="方正仿宋_GBK" w:hAnsi="方正仿宋_GBK" w:eastAsia="方正仿宋_GBK" w:cs="方正仿宋_GBK"/>
          <w:b/>
          <w:bCs/>
          <w:snapToGrid w:val="0"/>
          <w:color w:val="auto"/>
          <w:kern w:val="0"/>
          <w:sz w:val="32"/>
          <w:szCs w:val="32"/>
          <w:highlight w:val="none"/>
          <w:lang w:eastAsia="zh-CN"/>
        </w:rPr>
        <w:t>.加强公厕日常管护。一是对存在问题的公厕进行督办，要求各村限期整改，安排保洁人员对公厕四周杂草进行清除及对厕所内进行清洁，确保公厕正常开放使用。二是制定并印发《江英镇关于建立健全农村厕所长效管护机制方案》，明确管护标准、责任人和监督电话，推动各村落实专人负责日常保洁和维护。</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4</w:t>
      </w:r>
      <w:r>
        <w:rPr>
          <w:rFonts w:hint="eastAsia" w:ascii="方正仿宋_GBK" w:hAnsi="方正仿宋_GBK" w:eastAsia="方正仿宋_GBK" w:cs="方正仿宋_GBK"/>
          <w:b/>
          <w:bCs/>
          <w:snapToGrid w:val="0"/>
          <w:color w:val="auto"/>
          <w:kern w:val="0"/>
          <w:sz w:val="32"/>
          <w:szCs w:val="32"/>
          <w:highlight w:val="none"/>
          <w:lang w:eastAsia="zh-CN"/>
        </w:rPr>
        <w:t>.强化污水处理设施维护。镇环保工作人员到各村实地现场指导做好污水管道修复、建设生化池等，同时督促各村严格落实好《江英镇农村生活污水处理设施管理办法》，做好对污水收集管网系统和终端处理系统的维护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5</w:t>
      </w:r>
      <w:r>
        <w:rPr>
          <w:rFonts w:hint="eastAsia" w:ascii="方正仿宋_GBK" w:hAnsi="方正仿宋_GBK" w:eastAsia="方正仿宋_GBK" w:cs="方正仿宋_GBK"/>
          <w:b/>
          <w:bCs/>
          <w:snapToGrid w:val="0"/>
          <w:color w:val="auto"/>
          <w:kern w:val="0"/>
          <w:sz w:val="32"/>
          <w:szCs w:val="32"/>
          <w:highlight w:val="none"/>
          <w:lang w:eastAsia="zh-CN"/>
        </w:rPr>
        <w:t>.全力推进垃圾革命。对存在垃圾堆积问题的行政村进行现场督办，增加清运频次，对垃圾收集点进行整改和维护，确保垃圾收集点周边卫生整洁，并安排人员做好日常管护工作。制定《江英镇农村人居环境整治和基础设施长效管护机制方案》，明确村“两委”分包片区责任。指导各村通过微信群、入户宣传等方式倡导垃圾分类、定点投放，提升村民环保意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6</w:t>
      </w:r>
      <w:r>
        <w:rPr>
          <w:rFonts w:hint="eastAsia" w:ascii="方正仿宋_GBK" w:hAnsi="方正仿宋_GBK" w:eastAsia="方正仿宋_GBK" w:cs="方正仿宋_GBK"/>
          <w:b/>
          <w:bCs/>
          <w:snapToGrid w:val="0"/>
          <w:color w:val="auto"/>
          <w:kern w:val="0"/>
          <w:sz w:val="32"/>
          <w:szCs w:val="32"/>
          <w:highlight w:val="none"/>
          <w:lang w:eastAsia="zh-CN"/>
        </w:rPr>
        <w:t>.加强公共设施检修维护。组织各村对乡村公园、健身器材、文化场所等进行人居环境集中清理和维护，制定《江英镇农村人居环境整治和基础设施长效管护机制方案》，各村加强健身设施日常巡查和维护工作，确保健身器材和体育运动设施能合理使用，严格落实文体设施开放管理制度，明确管护责任人，定期巡检、报修、维护。</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7</w:t>
      </w:r>
      <w:r>
        <w:rPr>
          <w:rFonts w:hint="eastAsia" w:ascii="方正仿宋_GBK" w:hAnsi="方正仿宋_GBK" w:eastAsia="方正仿宋_GBK" w:cs="方正仿宋_GBK"/>
          <w:b/>
          <w:bCs/>
          <w:snapToGrid w:val="0"/>
          <w:color w:val="auto"/>
          <w:kern w:val="0"/>
          <w:sz w:val="32"/>
          <w:szCs w:val="32"/>
          <w:highlight w:val="none"/>
          <w:lang w:eastAsia="zh-CN"/>
        </w:rPr>
        <w:t>.保障供水工程正常供水。加强对各村集中供水工程的监督管理工作，督促村干部定期巡查供水工程，巡查管道漏损、污染风险点，及时发现并整改隐患问题，保障群众用水安全。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8</w:t>
      </w:r>
      <w:r>
        <w:rPr>
          <w:rFonts w:hint="eastAsia" w:ascii="方正仿宋_GBK" w:hAnsi="方正仿宋_GBK" w:eastAsia="方正仿宋_GBK" w:cs="方正仿宋_GBK"/>
          <w:b/>
          <w:bCs/>
          <w:snapToGrid w:val="0"/>
          <w:color w:val="auto"/>
          <w:kern w:val="0"/>
          <w:sz w:val="32"/>
          <w:szCs w:val="32"/>
          <w:highlight w:val="none"/>
          <w:lang w:eastAsia="zh-CN"/>
        </w:rPr>
        <w:t>.开展交通安全隐患排查整治。组织各村清理道路两旁杂草，避免遮挡交通视线；强化道路日常管护，及时清除路面落石、树枝等杂物，对窄路进行拓宽、坑洼路段进行回填，规范设立警示标志；多渠道筹集资金推进道路建设，并提高道路安全巡逻频次，及时排查消除交通隐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9</w:t>
      </w:r>
      <w:r>
        <w:rPr>
          <w:rFonts w:hint="eastAsia" w:ascii="方正仿宋_GBK" w:hAnsi="方正仿宋_GBK" w:eastAsia="方正仿宋_GBK" w:cs="方正仿宋_GBK"/>
          <w:b/>
          <w:bCs/>
          <w:snapToGrid w:val="0"/>
          <w:color w:val="auto"/>
          <w:kern w:val="0"/>
          <w:sz w:val="32"/>
          <w:szCs w:val="32"/>
          <w:highlight w:val="none"/>
          <w:lang w:eastAsia="zh-CN"/>
        </w:rPr>
        <w:t>.加强高标准农田管护。督导各村及时清理水渠漂浮的生活垃圾、渠底淤泥和渠道两边杂草，制定了《江英镇高标准农田建设后长效管护制度》。明确镇村两级职责，推动各村组建水利设施管护队伍；明确管护范围和责任，定期开展巡查清理，确保水利设施长期有效运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楷体_GBK" w:hAnsi="方正楷体_GBK" w:eastAsia="方正楷体_GBK" w:cs="方正楷体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（三）关于深化全面从严治党，构建风清气正政治生态，为实施“百千万工程”等创造良好环境方面</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eastAsia="方正仿宋_GBK" w:cs="方正仿宋_GBK"/>
          <w:b/>
          <w:bCs/>
          <w:snapToGrid w:val="0"/>
          <w:color w:val="auto"/>
          <w:kern w:val="0"/>
          <w:sz w:val="32"/>
          <w:szCs w:val="32"/>
          <w:highlight w:val="none"/>
          <w:lang w:eastAsia="zh-CN"/>
        </w:rPr>
        <w:t>1.有针对性开展财务培训。组织各村报账员开展报账业务培训，系统性学习村级报账流程，重点讲解采购类、工程类报账流程，明确流程各时间节点，同时加强采购类、工程类报销审核。镇财政所加强对各村采购类、工程类报账的指导与监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2</w:t>
      </w:r>
      <w:r>
        <w:rPr>
          <w:rFonts w:hint="eastAsia" w:ascii="方正仿宋_GBK" w:hAnsi="方正仿宋_GBK" w:eastAsia="方正仿宋_GBK" w:cs="方正仿宋_GBK"/>
          <w:b/>
          <w:bCs/>
          <w:snapToGrid w:val="0"/>
          <w:color w:val="auto"/>
          <w:kern w:val="0"/>
          <w:sz w:val="32"/>
          <w:szCs w:val="32"/>
          <w:highlight w:val="none"/>
          <w:lang w:eastAsia="zh-CN"/>
        </w:rPr>
        <w:t>.加强工作用餐管理。组织各村认真学习《阳山县行政村工作用餐管理指导意见（试行）》，要求各村严格执行用餐标准，确保规范用餐管理，同时加强费用报销审核把关。</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3</w:t>
      </w:r>
      <w:r>
        <w:rPr>
          <w:rFonts w:hint="eastAsia" w:ascii="方正仿宋_GBK" w:hAnsi="方正仿宋_GBK" w:eastAsia="方正仿宋_GBK" w:cs="方正仿宋_GBK"/>
          <w:b/>
          <w:bCs/>
          <w:snapToGrid w:val="0"/>
          <w:color w:val="auto"/>
          <w:kern w:val="0"/>
          <w:sz w:val="32"/>
          <w:szCs w:val="32"/>
          <w:highlight w:val="none"/>
          <w:lang w:eastAsia="zh-CN"/>
        </w:rPr>
        <w:t>.规范专项经费管理和使用。组织召开党组织服务群众专项经费使用和管理业务培训，要求各村加强学习《广东省村党组织服务群众专项经费和村（社区）办公经费使用管理办法（试行）》，规范服务群众经费支出。同时通过走访入户等方式精准把握民情民意‌，主动听取党员群众意见，摸清群众需求，总结归纳群众最迫切需要的服务和最期盼解决的问题，确保将服务群众经费用好、用活、用在实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4</w:t>
      </w:r>
      <w:r>
        <w:rPr>
          <w:rFonts w:hint="eastAsia" w:ascii="方正仿宋_GBK" w:hAnsi="方正仿宋_GBK" w:eastAsia="方正仿宋_GBK" w:cs="方正仿宋_GBK"/>
          <w:b/>
          <w:bCs/>
          <w:snapToGrid w:val="0"/>
          <w:color w:val="auto"/>
          <w:kern w:val="0"/>
          <w:sz w:val="32"/>
          <w:szCs w:val="32"/>
          <w:highlight w:val="none"/>
          <w:lang w:eastAsia="zh-CN"/>
        </w:rPr>
        <w:t>.强化“三资”管理制度学习与执行。组织村级财务等人员开展农村 “三资” 管理制度专项培训，深入学习省三资平台信息录入规范、时间节点及监督要求，确保村集体资产、资源、资金信息及时、准确、完整录入省三资平台，实现动态监管全覆盖，切实提升村集体 “三资” 监督质效。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5</w:t>
      </w:r>
      <w:r>
        <w:rPr>
          <w:rFonts w:hint="eastAsia" w:ascii="方正仿宋_GBK" w:hAnsi="方正仿宋_GBK" w:eastAsia="方正仿宋_GBK" w:cs="方正仿宋_GBK"/>
          <w:b/>
          <w:bCs/>
          <w:snapToGrid w:val="0"/>
          <w:color w:val="auto"/>
          <w:kern w:val="0"/>
          <w:sz w:val="32"/>
          <w:szCs w:val="32"/>
          <w:highlight w:val="none"/>
          <w:lang w:eastAsia="zh-CN"/>
        </w:rPr>
        <w:t>.增强勤俭节约意识，落实过“紧日子”要求。一是组织学习财务管理制度、村级办公经费使用和管理，强调厉行节约的重要性和意义，加强宣传教育，提高村干部的节约意识，规范办公用品的采购，严管资金使用。二是结合中央八项规定精神学习教育，组织镇村全体干部深入学习中央八项规定精神及其实施细则，落实厉行节约等相关要求，明确办公用品采购“实用、必需、节俭”的原则，从源头上杜绝铺张浪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6</w:t>
      </w:r>
      <w:r>
        <w:rPr>
          <w:rFonts w:hint="eastAsia" w:ascii="方正仿宋_GBK" w:hAnsi="方正仿宋_GBK" w:eastAsia="方正仿宋_GBK" w:cs="方正仿宋_GBK"/>
          <w:b/>
          <w:bCs/>
          <w:snapToGrid w:val="0"/>
          <w:color w:val="auto"/>
          <w:kern w:val="0"/>
          <w:sz w:val="32"/>
          <w:szCs w:val="32"/>
          <w:highlight w:val="none"/>
          <w:lang w:eastAsia="zh-CN"/>
        </w:rPr>
        <w:t>.严格把关工程项目，加强分析研判。组织各村加强对工程项目相关规定的学习，做好项目建设前期研判，对项目可行性、经济性、风险等进行多角度分析评估，广泛征求意见和建议，为项目决策提供科学依据。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仿宋_GBK" w:hAnsi="方正仿宋_GBK" w:cs="方正仿宋_GBK"/>
          <w:b/>
          <w:bCs/>
          <w:snapToGrid w:val="0"/>
          <w:color w:val="auto"/>
          <w:kern w:val="0"/>
          <w:sz w:val="32"/>
          <w:szCs w:val="32"/>
          <w:highlight w:val="none"/>
          <w:lang w:val="en-US" w:eastAsia="zh-CN"/>
        </w:rPr>
        <w:t>7</w:t>
      </w:r>
      <w:r>
        <w:rPr>
          <w:rFonts w:hint="eastAsia" w:ascii="方正仿宋_GBK" w:hAnsi="方正仿宋_GBK" w:eastAsia="方正仿宋_GBK" w:cs="方正仿宋_GBK"/>
          <w:b/>
          <w:bCs/>
          <w:snapToGrid w:val="0"/>
          <w:color w:val="auto"/>
          <w:kern w:val="0"/>
          <w:sz w:val="32"/>
          <w:szCs w:val="32"/>
          <w:highlight w:val="none"/>
          <w:lang w:eastAsia="zh-CN"/>
        </w:rPr>
        <w:t>.严格执行“四议两公开”制度。组织召开“四议两公开”制度培训班，明确各个环节责任与要求，避免执行变形。要求各村继续加强学习相关制度，严格按规定执行每一个步骤，严格把控好召开村民代表会议次数和会议商议事项，并规范会议流程，做好会前签到、议题讨论、代表发言、表决、形成决议、记录存档等流程，并安排专人负责会议记录，详细记录讨论过程和结果，会后对决议进行公示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黑体_GBK" w:hAnsi="方正黑体_GBK" w:eastAsia="方正黑体_GBK" w:cs="方正黑体_GBK"/>
          <w:b/>
          <w:bCs/>
          <w:snapToGrid w:val="0"/>
          <w:color w:val="auto"/>
          <w:kern w:val="0"/>
          <w:sz w:val="32"/>
          <w:szCs w:val="32"/>
          <w:highlight w:val="none"/>
          <w:lang w:eastAsia="zh-CN"/>
        </w:rPr>
      </w:pPr>
      <w:r>
        <w:rPr>
          <w:rFonts w:hint="eastAsia" w:ascii="方正黑体_GBK" w:hAnsi="方正黑体_GBK" w:eastAsia="方正黑体_GBK" w:cs="方正黑体_GBK"/>
          <w:b/>
          <w:bCs/>
          <w:snapToGrid w:val="0"/>
          <w:color w:val="auto"/>
          <w:kern w:val="0"/>
          <w:sz w:val="32"/>
          <w:szCs w:val="32"/>
          <w:highlight w:val="none"/>
          <w:lang w:eastAsia="zh-CN"/>
        </w:rPr>
        <w:t>三、下一步整改工作安排</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一是提高思想认识，强化政治担当。</w:t>
      </w:r>
      <w:r>
        <w:rPr>
          <w:rFonts w:hint="eastAsia" w:ascii="方正仿宋_GBK" w:hAnsi="方正仿宋_GBK" w:eastAsia="方正仿宋_GBK" w:cs="方正仿宋_GBK"/>
          <w:b/>
          <w:bCs/>
          <w:snapToGrid w:val="0"/>
          <w:color w:val="auto"/>
          <w:kern w:val="0"/>
          <w:sz w:val="32"/>
          <w:szCs w:val="32"/>
          <w:highlight w:val="none"/>
          <w:lang w:eastAsia="zh-CN"/>
        </w:rPr>
        <w:t>坚持以习近平新时代中国特色社会主义思想为指导，深入学习习近平总书记关于巡视工作的重要论述，以及上级关于巡察整改的各项文件精神和工作要求，让全镇干部深刻认识巡察整改工作的严肃性和重要性，切实增强责任感和使命感，将巡察整改和全镇重点工作任务结合起来，持续深入推进巡察整改工作，巩固整改成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r>
        <w:rPr>
          <w:rFonts w:hint="eastAsia" w:ascii="方正楷体_GBK" w:hAnsi="方正楷体_GBK" w:eastAsia="方正楷体_GBK" w:cs="方正楷体_GBK"/>
          <w:b/>
          <w:bCs/>
          <w:snapToGrid w:val="0"/>
          <w:color w:val="auto"/>
          <w:kern w:val="0"/>
          <w:sz w:val="32"/>
          <w:szCs w:val="32"/>
          <w:highlight w:val="none"/>
          <w:lang w:eastAsia="zh-CN"/>
        </w:rPr>
        <w:t>二是完善整改工作机制，加强组织领导。</w:t>
      </w:r>
      <w:r>
        <w:rPr>
          <w:rFonts w:hint="eastAsia" w:ascii="方正仿宋_GBK" w:hAnsi="方正仿宋_GBK" w:eastAsia="方正仿宋_GBK" w:cs="方正仿宋_GBK"/>
          <w:b/>
          <w:bCs/>
          <w:snapToGrid w:val="0"/>
          <w:color w:val="auto"/>
          <w:kern w:val="0"/>
          <w:sz w:val="32"/>
          <w:szCs w:val="32"/>
          <w:highlight w:val="none"/>
          <w:lang w:eastAsia="zh-CN"/>
        </w:rPr>
        <w:t>建立阶段性整改问题台账，严格实行台账管理和动态管理，逐一进行销号，并定期向县委巡察办汇报整改进度。明确整改工作责任分工，将阶段性整改问题细化到具体责任人，对整改工作进行全过程跟踪，坚持标准不降、力度不减，争取尽快完成巡察反馈的全部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eastAsia="zh-CN"/>
        </w:rPr>
      </w:pPr>
      <w:bookmarkStart w:id="0" w:name="_GoBack"/>
      <w:r>
        <w:rPr>
          <w:rFonts w:hint="eastAsia" w:ascii="方正楷体_GBK" w:hAnsi="方正楷体_GBK" w:eastAsia="方正楷体_GBK" w:cs="方正楷体_GBK"/>
          <w:b/>
          <w:bCs/>
          <w:snapToGrid w:val="0"/>
          <w:color w:val="auto"/>
          <w:kern w:val="0"/>
          <w:sz w:val="32"/>
          <w:szCs w:val="32"/>
          <w:highlight w:val="none"/>
          <w:lang w:eastAsia="zh-CN"/>
        </w:rPr>
        <w:t>三是建立健全长效机制。</w:t>
      </w:r>
      <w:bookmarkEnd w:id="0"/>
      <w:r>
        <w:rPr>
          <w:rFonts w:hint="eastAsia" w:ascii="方正仿宋_GBK" w:hAnsi="方正仿宋_GBK" w:eastAsia="方正仿宋_GBK" w:cs="方正仿宋_GBK"/>
          <w:b/>
          <w:bCs/>
          <w:snapToGrid w:val="0"/>
          <w:color w:val="auto"/>
          <w:kern w:val="0"/>
          <w:sz w:val="32"/>
          <w:szCs w:val="32"/>
          <w:highlight w:val="none"/>
          <w:lang w:eastAsia="zh-CN"/>
        </w:rPr>
        <w:t xml:space="preserve">针对巡察反馈问题，在完成整改任务的基础上，深入分析问题产生的根源，从制度层面查找漏洞和不足，建立健全长效机制，防止类似问题再次发生，推进巡察成果在江英长效化运行。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欢迎广大干部群众对巡察整改落实情况进行监督。如有意见建议，请及时向我们反映。联系电话：0763-3102982；邮政地址：</w:t>
      </w:r>
      <w:r>
        <w:rPr>
          <w:rFonts w:hint="eastAsia" w:ascii="方正仿宋_GBK" w:hAnsi="方正仿宋_GBK" w:cs="方正仿宋_GBK"/>
          <w:b/>
          <w:bCs/>
          <w:color w:val="auto"/>
          <w:sz w:val="32"/>
          <w:szCs w:val="32"/>
          <w:highlight w:val="none"/>
          <w:lang w:val="en-US" w:eastAsia="zh-CN"/>
        </w:rPr>
        <w:t>清远市</w:t>
      </w:r>
      <w:r>
        <w:rPr>
          <w:rFonts w:hint="eastAsia" w:ascii="方正仿宋_GBK" w:hAnsi="方正仿宋_GBK" w:eastAsia="方正仿宋_GBK" w:cs="方正仿宋_GBK"/>
          <w:b/>
          <w:bCs/>
          <w:color w:val="auto"/>
          <w:sz w:val="32"/>
          <w:szCs w:val="32"/>
          <w:highlight w:val="none"/>
          <w:lang w:val="en-US" w:eastAsia="zh-CN"/>
        </w:rPr>
        <w:t>阳山县江英镇江英大街151号；电子邮箱：jy3102982@126.com</w:t>
      </w:r>
      <w:r>
        <w:rPr>
          <w:rFonts w:hint="eastAsia" w:ascii="方正仿宋_GBK" w:hAnsi="方正仿宋_GBK" w:cs="方正仿宋_GBK"/>
          <w:b/>
          <w:bCs/>
          <w:color w:val="auto"/>
          <w:sz w:val="32"/>
          <w:szCs w:val="32"/>
          <w:highlight w:val="none"/>
          <w:lang w:val="en-US" w:eastAsia="zh-CN"/>
        </w:rPr>
        <w:t>，邮政编码：513123</w:t>
      </w:r>
      <w:r>
        <w:rPr>
          <w:rFonts w:hint="eastAsia" w:ascii="方正仿宋_GBK" w:hAnsi="方正仿宋_GBK" w:eastAsia="方正仿宋_GBK" w:cs="方正仿宋_GBK"/>
          <w:b/>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仿宋_GBK" w:hAnsi="方正仿宋_GBK" w:eastAsia="方正仿宋_GBK" w:cs="方正仿宋_GBK"/>
          <w:b/>
          <w:bCs/>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val="en-US" w:eastAsia="zh-CN"/>
        </w:rPr>
      </w:pPr>
      <w:r>
        <w:rPr>
          <w:rFonts w:hint="eastAsia" w:ascii="方正仿宋_GBK" w:hAnsi="方正仿宋_GBK" w:eastAsia="方正仿宋_GBK" w:cs="方正仿宋_GBK"/>
          <w:b/>
          <w:bCs/>
          <w:snapToGrid w:val="0"/>
          <w:color w:val="auto"/>
          <w:kern w:val="0"/>
          <w:sz w:val="32"/>
          <w:szCs w:val="32"/>
          <w:highlight w:val="none"/>
          <w:lang w:val="en-US" w:eastAsia="zh-CN"/>
        </w:rPr>
        <w:t xml:space="preserve">                       中共阳山县江英镇委员会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snapToGrid w:val="0"/>
          <w:color w:val="auto"/>
          <w:kern w:val="0"/>
          <w:sz w:val="32"/>
          <w:szCs w:val="32"/>
          <w:highlight w:val="none"/>
          <w:lang w:val="en-US" w:eastAsia="zh-CN"/>
        </w:rPr>
      </w:pPr>
      <w:r>
        <w:rPr>
          <w:rFonts w:hint="eastAsia" w:ascii="方正仿宋_GBK" w:hAnsi="方正仿宋_GBK" w:eastAsia="方正仿宋_GBK" w:cs="方正仿宋_GBK"/>
          <w:b/>
          <w:bCs/>
          <w:snapToGrid w:val="0"/>
          <w:color w:val="auto"/>
          <w:kern w:val="0"/>
          <w:sz w:val="32"/>
          <w:szCs w:val="32"/>
          <w:highlight w:val="none"/>
          <w:lang w:val="en-US" w:eastAsia="zh-CN"/>
        </w:rPr>
        <w:t xml:space="preserve">                           2025年</w:t>
      </w:r>
      <w:r>
        <w:rPr>
          <w:rFonts w:hint="eastAsia" w:ascii="方正仿宋_GBK" w:hAnsi="方正仿宋_GBK" w:cs="方正仿宋_GBK"/>
          <w:b/>
          <w:bCs/>
          <w:snapToGrid w:val="0"/>
          <w:color w:val="auto"/>
          <w:kern w:val="0"/>
          <w:sz w:val="32"/>
          <w:szCs w:val="32"/>
          <w:highlight w:val="none"/>
          <w:lang w:val="en-US" w:eastAsia="zh-CN"/>
        </w:rPr>
        <w:t>12</w:t>
      </w:r>
      <w:r>
        <w:rPr>
          <w:rFonts w:hint="eastAsia" w:ascii="方正仿宋_GBK" w:hAnsi="方正仿宋_GBK" w:eastAsia="方正仿宋_GBK" w:cs="方正仿宋_GBK"/>
          <w:b/>
          <w:bCs/>
          <w:snapToGrid w:val="0"/>
          <w:color w:val="auto"/>
          <w:kern w:val="0"/>
          <w:sz w:val="32"/>
          <w:szCs w:val="32"/>
          <w:highlight w:val="none"/>
          <w:lang w:val="en-US" w:eastAsia="zh-CN"/>
        </w:rPr>
        <w:t>月</w:t>
      </w:r>
      <w:r>
        <w:rPr>
          <w:rFonts w:hint="eastAsia" w:ascii="方正仿宋_GBK" w:hAnsi="方正仿宋_GBK" w:cs="方正仿宋_GBK"/>
          <w:b/>
          <w:bCs/>
          <w:snapToGrid w:val="0"/>
          <w:color w:val="auto"/>
          <w:kern w:val="0"/>
          <w:sz w:val="32"/>
          <w:szCs w:val="32"/>
          <w:highlight w:val="none"/>
          <w:lang w:val="en-US" w:eastAsia="zh-CN"/>
        </w:rPr>
        <w:t>22</w:t>
      </w:r>
      <w:r>
        <w:rPr>
          <w:rFonts w:hint="eastAsia" w:ascii="方正仿宋_GBK" w:hAnsi="方正仿宋_GBK" w:eastAsia="方正仿宋_GBK" w:cs="方正仿宋_GBK"/>
          <w:b/>
          <w:bCs/>
          <w:snapToGrid w:val="0"/>
          <w:color w:val="auto"/>
          <w:kern w:val="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仿宋_GBK" w:hAnsi="方正仿宋_GBK" w:eastAsia="方正仿宋_GBK" w:cs="方正仿宋_GBK"/>
          <w:b/>
          <w:bCs/>
          <w:snapToGrid w:val="0"/>
          <w:color w:val="auto"/>
          <w:kern w:val="0"/>
          <w:sz w:val="32"/>
          <w:szCs w:val="32"/>
          <w:highlight w:val="none"/>
          <w:lang w:val="en-US" w:eastAsia="zh-CN"/>
        </w:rPr>
      </w:pPr>
    </w:p>
    <w:sectPr>
      <w:footerReference r:id="rId6" w:type="first"/>
      <w:footerReference r:id="rId5" w:type="default"/>
      <w:pgSz w:w="11906" w:h="16838"/>
      <w:pgMar w:top="2154" w:right="1531" w:bottom="1871" w:left="1531" w:header="851" w:footer="992" w:gutter="0"/>
      <w:pgNumType w:fmt="numberInDash"/>
      <w:cols w:space="0" w:num="1"/>
      <w:titlePg/>
      <w:rtlGutter w:val="0"/>
      <w:docGrid w:type="linesAndChars" w:linePitch="441"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0"/>
      </w:pPr>
      <w:r>
        <w:separator/>
      </w:r>
    </w:p>
  </w:endnote>
  <w:endnote w:type="continuationSeparator" w:id="1">
    <w:p>
      <w:pPr>
        <w:spacing w:line="240" w:lineRule="auto"/>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２</w:t>
                          </w:r>
                          <w:r>
                            <w:rPr>
                              <w:rFonts w:hint="eastAsia" w:ascii="方正仿宋_GBK" w:hAnsi="方正仿宋_GBK" w:eastAsia="方正仿宋_GBK" w:cs="方正仿宋_GBK"/>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ind w:left="0" w:leftChars="0"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２</w:t>
                    </w:r>
                    <w:r>
                      <w:rPr>
                        <w:rFonts w:hint="eastAsia" w:ascii="方正仿宋_GBK" w:hAnsi="方正仿宋_GBK" w:eastAsia="方正仿宋_GBK" w:cs="方正仿宋_GBK"/>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1"/>
                              <w:szCs w:val="21"/>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sz w:val="21"/>
                        <w:szCs w:val="21"/>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80"/>
      </w:pPr>
      <w:r>
        <w:separator/>
      </w:r>
    </w:p>
  </w:footnote>
  <w:footnote w:type="continuationSeparator" w:id="1">
    <w:p>
      <w:pPr>
        <w:spacing w:line="240" w:lineRule="auto"/>
        <w:ind w:firstLine="6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70"/>
  <w:drawingGridVerticalSpacing w:val="22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ZTI4MzI2NWRiNGNjMzVjZDg4MTI5MWY0ZTczOGIifQ=="/>
  </w:docVars>
  <w:rsids>
    <w:rsidRoot w:val="00000000"/>
    <w:rsid w:val="010F1A2E"/>
    <w:rsid w:val="01475FE6"/>
    <w:rsid w:val="02977F08"/>
    <w:rsid w:val="02B01361"/>
    <w:rsid w:val="03714A53"/>
    <w:rsid w:val="04324DE9"/>
    <w:rsid w:val="05602DBD"/>
    <w:rsid w:val="05C3657B"/>
    <w:rsid w:val="05F247E1"/>
    <w:rsid w:val="06E2496C"/>
    <w:rsid w:val="07F17A3F"/>
    <w:rsid w:val="087B0530"/>
    <w:rsid w:val="088A7E47"/>
    <w:rsid w:val="08BD4ECE"/>
    <w:rsid w:val="09635C81"/>
    <w:rsid w:val="0A1A4442"/>
    <w:rsid w:val="0A546CFD"/>
    <w:rsid w:val="0BC32C77"/>
    <w:rsid w:val="0BD118BE"/>
    <w:rsid w:val="0D912E93"/>
    <w:rsid w:val="0DDC0886"/>
    <w:rsid w:val="0DE73149"/>
    <w:rsid w:val="0EC10BC1"/>
    <w:rsid w:val="0F53344E"/>
    <w:rsid w:val="0F6513D1"/>
    <w:rsid w:val="0F757167"/>
    <w:rsid w:val="10BA0B9B"/>
    <w:rsid w:val="1214532B"/>
    <w:rsid w:val="12C46F1B"/>
    <w:rsid w:val="12CD7D82"/>
    <w:rsid w:val="12D5033B"/>
    <w:rsid w:val="12D5407F"/>
    <w:rsid w:val="12FA35BA"/>
    <w:rsid w:val="133359EB"/>
    <w:rsid w:val="13B140A4"/>
    <w:rsid w:val="13B861BE"/>
    <w:rsid w:val="1432103D"/>
    <w:rsid w:val="14757811"/>
    <w:rsid w:val="148918E5"/>
    <w:rsid w:val="14A131E5"/>
    <w:rsid w:val="15AD57BB"/>
    <w:rsid w:val="15D55A75"/>
    <w:rsid w:val="16765D06"/>
    <w:rsid w:val="17627DB4"/>
    <w:rsid w:val="17631FB0"/>
    <w:rsid w:val="183A32E0"/>
    <w:rsid w:val="18931A39"/>
    <w:rsid w:val="18BD6C3E"/>
    <w:rsid w:val="18F34EE9"/>
    <w:rsid w:val="191059F3"/>
    <w:rsid w:val="1925608D"/>
    <w:rsid w:val="193473F1"/>
    <w:rsid w:val="1976173A"/>
    <w:rsid w:val="1A327A01"/>
    <w:rsid w:val="1A81100C"/>
    <w:rsid w:val="1C02342D"/>
    <w:rsid w:val="1C6E496F"/>
    <w:rsid w:val="1DB4677C"/>
    <w:rsid w:val="1DD63211"/>
    <w:rsid w:val="1E0823DF"/>
    <w:rsid w:val="21032027"/>
    <w:rsid w:val="21147AC7"/>
    <w:rsid w:val="22F22E14"/>
    <w:rsid w:val="23C67C9D"/>
    <w:rsid w:val="24712D17"/>
    <w:rsid w:val="248572DA"/>
    <w:rsid w:val="24C05D88"/>
    <w:rsid w:val="256B3724"/>
    <w:rsid w:val="257B703A"/>
    <w:rsid w:val="25835D26"/>
    <w:rsid w:val="264138E7"/>
    <w:rsid w:val="273028A5"/>
    <w:rsid w:val="275F5CAC"/>
    <w:rsid w:val="27BC7D66"/>
    <w:rsid w:val="286E501A"/>
    <w:rsid w:val="28745038"/>
    <w:rsid w:val="2A5F078C"/>
    <w:rsid w:val="2AEA5D15"/>
    <w:rsid w:val="2BA215A7"/>
    <w:rsid w:val="2BD74F7C"/>
    <w:rsid w:val="2BF10171"/>
    <w:rsid w:val="2C5E0FE0"/>
    <w:rsid w:val="2C8A45DD"/>
    <w:rsid w:val="2DC66AEA"/>
    <w:rsid w:val="2E320C16"/>
    <w:rsid w:val="2E8E7678"/>
    <w:rsid w:val="30AC4027"/>
    <w:rsid w:val="31A7667C"/>
    <w:rsid w:val="32D50E08"/>
    <w:rsid w:val="332E6808"/>
    <w:rsid w:val="338A4DA9"/>
    <w:rsid w:val="33932154"/>
    <w:rsid w:val="343B00C1"/>
    <w:rsid w:val="348A18C0"/>
    <w:rsid w:val="350F0F1C"/>
    <w:rsid w:val="35B64267"/>
    <w:rsid w:val="35C6D10B"/>
    <w:rsid w:val="35FE11CC"/>
    <w:rsid w:val="36EF4F16"/>
    <w:rsid w:val="375357AA"/>
    <w:rsid w:val="399E2821"/>
    <w:rsid w:val="3A246DA3"/>
    <w:rsid w:val="3A3829B8"/>
    <w:rsid w:val="3A7257F0"/>
    <w:rsid w:val="3AF52546"/>
    <w:rsid w:val="3B0B7BD5"/>
    <w:rsid w:val="3CFFDC06"/>
    <w:rsid w:val="3D66234A"/>
    <w:rsid w:val="3D7E23E6"/>
    <w:rsid w:val="3E7E1FF1"/>
    <w:rsid w:val="3EEE77AB"/>
    <w:rsid w:val="3F9F589E"/>
    <w:rsid w:val="3FA60543"/>
    <w:rsid w:val="3FF60110"/>
    <w:rsid w:val="406D20E6"/>
    <w:rsid w:val="40B110CF"/>
    <w:rsid w:val="40D90309"/>
    <w:rsid w:val="43931F5F"/>
    <w:rsid w:val="4428690B"/>
    <w:rsid w:val="44AC5480"/>
    <w:rsid w:val="4540092C"/>
    <w:rsid w:val="45531A9C"/>
    <w:rsid w:val="458C2FAA"/>
    <w:rsid w:val="45D92C75"/>
    <w:rsid w:val="4638496D"/>
    <w:rsid w:val="465D2843"/>
    <w:rsid w:val="4779317C"/>
    <w:rsid w:val="47DE1745"/>
    <w:rsid w:val="481D56A8"/>
    <w:rsid w:val="493A7E68"/>
    <w:rsid w:val="4962346B"/>
    <w:rsid w:val="49E126CC"/>
    <w:rsid w:val="4A0E745E"/>
    <w:rsid w:val="4AFC48E0"/>
    <w:rsid w:val="4B3F42A7"/>
    <w:rsid w:val="4C7A65D6"/>
    <w:rsid w:val="4CF500FC"/>
    <w:rsid w:val="4FB75404"/>
    <w:rsid w:val="50186577"/>
    <w:rsid w:val="50492E87"/>
    <w:rsid w:val="50946D68"/>
    <w:rsid w:val="50E3513B"/>
    <w:rsid w:val="50F34EA5"/>
    <w:rsid w:val="51092458"/>
    <w:rsid w:val="512944F5"/>
    <w:rsid w:val="5261271E"/>
    <w:rsid w:val="52842CCA"/>
    <w:rsid w:val="534C0852"/>
    <w:rsid w:val="54466CB1"/>
    <w:rsid w:val="54472A74"/>
    <w:rsid w:val="553D28DD"/>
    <w:rsid w:val="55EF6406"/>
    <w:rsid w:val="56996B1A"/>
    <w:rsid w:val="56DF28FA"/>
    <w:rsid w:val="578E0262"/>
    <w:rsid w:val="5825684F"/>
    <w:rsid w:val="58D068A3"/>
    <w:rsid w:val="5A1F7F7D"/>
    <w:rsid w:val="5AE95927"/>
    <w:rsid w:val="5B150607"/>
    <w:rsid w:val="5B696B3A"/>
    <w:rsid w:val="5C0512B1"/>
    <w:rsid w:val="5D641E05"/>
    <w:rsid w:val="5D985B63"/>
    <w:rsid w:val="5DDF5CA9"/>
    <w:rsid w:val="5F150F93"/>
    <w:rsid w:val="5FFE6E4B"/>
    <w:rsid w:val="60374B97"/>
    <w:rsid w:val="606F03C5"/>
    <w:rsid w:val="612F0273"/>
    <w:rsid w:val="61C30283"/>
    <w:rsid w:val="63376464"/>
    <w:rsid w:val="647B07E2"/>
    <w:rsid w:val="6571290B"/>
    <w:rsid w:val="66FE26CB"/>
    <w:rsid w:val="674570D5"/>
    <w:rsid w:val="67563C49"/>
    <w:rsid w:val="67E81D45"/>
    <w:rsid w:val="683C4CC4"/>
    <w:rsid w:val="68AF548D"/>
    <w:rsid w:val="6A1E0DC2"/>
    <w:rsid w:val="6A1F7543"/>
    <w:rsid w:val="6B4A00F1"/>
    <w:rsid w:val="6B7845E0"/>
    <w:rsid w:val="6D283BAB"/>
    <w:rsid w:val="6DC75DAD"/>
    <w:rsid w:val="6E4E6782"/>
    <w:rsid w:val="6E820D55"/>
    <w:rsid w:val="6EAD18A2"/>
    <w:rsid w:val="6EF3F504"/>
    <w:rsid w:val="6F784AF0"/>
    <w:rsid w:val="6FD50243"/>
    <w:rsid w:val="6FD90906"/>
    <w:rsid w:val="6FDF32D2"/>
    <w:rsid w:val="701059BD"/>
    <w:rsid w:val="70142B48"/>
    <w:rsid w:val="70206E04"/>
    <w:rsid w:val="70D07333"/>
    <w:rsid w:val="721A1EE6"/>
    <w:rsid w:val="7238451C"/>
    <w:rsid w:val="7362454A"/>
    <w:rsid w:val="74421EAF"/>
    <w:rsid w:val="74A044E7"/>
    <w:rsid w:val="756F2973"/>
    <w:rsid w:val="75804AE1"/>
    <w:rsid w:val="75C13451"/>
    <w:rsid w:val="75E37A9D"/>
    <w:rsid w:val="77A26354"/>
    <w:rsid w:val="78100EF8"/>
    <w:rsid w:val="78724743"/>
    <w:rsid w:val="78812465"/>
    <w:rsid w:val="78A9644D"/>
    <w:rsid w:val="793F4DA1"/>
    <w:rsid w:val="7990421E"/>
    <w:rsid w:val="7A763C97"/>
    <w:rsid w:val="7C2A1BB5"/>
    <w:rsid w:val="7C334CA1"/>
    <w:rsid w:val="7C555A2E"/>
    <w:rsid w:val="7CAF6991"/>
    <w:rsid w:val="7D785147"/>
    <w:rsid w:val="7ED21F1F"/>
    <w:rsid w:val="7F2DC582"/>
    <w:rsid w:val="7F576403"/>
    <w:rsid w:val="7FFF85D5"/>
    <w:rsid w:val="EE6B9A87"/>
    <w:rsid w:val="F73D057F"/>
    <w:rsid w:val="FEDF2E14"/>
    <w:rsid w:val="FF3B6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576" w:lineRule="exact"/>
      <w:ind w:firstLine="640" w:firstLineChars="200"/>
      <w:jc w:val="left"/>
      <w:outlineLvl w:val="2"/>
    </w:pPr>
    <w:rPr>
      <w:rFonts w:ascii="仿宋_GB2312" w:hAnsi="仿宋_GB2312" w:eastAsia="方正仿宋_GBK" w:cs="仿宋_GB2312"/>
      <w:b/>
      <w:kern w:val="2"/>
      <w:sz w:val="32"/>
      <w:szCs w:val="32"/>
      <w:lang w:val="en-US" w:eastAsia="zh-CN" w:bidi="ar-SA"/>
    </w:rPr>
  </w:style>
  <w:style w:type="paragraph" w:styleId="3">
    <w:name w:val="heading 1"/>
    <w:basedOn w:val="1"/>
    <w:next w:val="1"/>
    <w:qFormat/>
    <w:uiPriority w:val="0"/>
    <w:pPr>
      <w:spacing w:line="660" w:lineRule="exact"/>
      <w:jc w:val="center"/>
      <w:outlineLvl w:val="0"/>
    </w:pPr>
    <w:rPr>
      <w:rFonts w:ascii="方正小标宋简体" w:hAnsi="方正小标宋简体" w:eastAsia="方正小标宋简体" w:cs="方正小标宋简体"/>
      <w:sz w:val="44"/>
      <w:szCs w:val="44"/>
    </w:rPr>
  </w:style>
  <w:style w:type="paragraph" w:styleId="4">
    <w:name w:val="heading 2"/>
    <w:basedOn w:val="1"/>
    <w:next w:val="1"/>
    <w:unhideWhenUsed/>
    <w:qFormat/>
    <w:uiPriority w:val="0"/>
    <w:pPr>
      <w:spacing w:line="576" w:lineRule="exact"/>
      <w:ind w:firstLine="640" w:firstLineChars="200"/>
      <w:jc w:val="left"/>
      <w:outlineLvl w:val="1"/>
    </w:pPr>
    <w:rPr>
      <w:rFonts w:ascii="黑体" w:hAnsi="黑体" w:eastAsia="黑体" w:cs="黑体"/>
      <w:sz w:val="32"/>
      <w:szCs w:val="32"/>
    </w:rPr>
  </w:style>
  <w:style w:type="paragraph" w:styleId="5">
    <w:name w:val="heading 3"/>
    <w:basedOn w:val="1"/>
    <w:next w:val="1"/>
    <w:unhideWhenUsed/>
    <w:qFormat/>
    <w:uiPriority w:val="0"/>
    <w:pPr>
      <w:outlineLvl w:val="2"/>
    </w:pPr>
    <w:rPr>
      <w:rFonts w:ascii="楷体_GB2312" w:hAnsi="楷体_GB2312" w:eastAsia="楷体_GB2312" w:cs="楷体_GB231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7304</Words>
  <Characters>7390</Characters>
  <Lines>0</Lines>
  <Paragraphs>0</Paragraphs>
  <TotalTime>6</TotalTime>
  <ScaleCrop>false</ScaleCrop>
  <LinksUpToDate>false</LinksUpToDate>
  <CharactersWithSpaces>7412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BGS2</cp:lastModifiedBy>
  <cp:lastPrinted>2024-10-24T17:44:00Z</cp:lastPrinted>
  <dcterms:modified xsi:type="dcterms:W3CDTF">2026-02-04T11:33:30Z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0EC4A7431FB86841CBF54D69CA15995A</vt:lpwstr>
  </property>
  <property fmtid="{D5CDD505-2E9C-101B-9397-08002B2CF9AE}" pid="4" name="KSOTemplateDocerSaveRecord">
    <vt:lpwstr>eyJoZGlkIjoiMzdmMTg5ODQ2YTMxMjFjOTQ0NjFhMTE0M2RmZTM3YzYifQ==</vt:lpwstr>
  </property>
</Properties>
</file>